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4D4C" w14:textId="74E090A8" w:rsidR="00C37137" w:rsidRDefault="2510B4B5" w:rsidP="2510B4B5">
      <w:pPr>
        <w:spacing w:after="0"/>
      </w:pPr>
      <w:r w:rsidRPr="2510B4B5">
        <w:t>Dear [T</w:t>
      </w:r>
      <w:r w:rsidR="009E7B1A">
        <w:t>RADE ALLY</w:t>
      </w:r>
      <w:r w:rsidRPr="2510B4B5">
        <w:t xml:space="preserve">], </w:t>
      </w:r>
    </w:p>
    <w:p w14:paraId="4BD38769" w14:textId="77777777" w:rsidR="00F02DBC" w:rsidRPr="002F59AA" w:rsidRDefault="00F02DBC" w:rsidP="00F02DBC">
      <w:pPr>
        <w:spacing w:after="0"/>
        <w:rPr>
          <w:rFonts w:cstheme="minorHAnsi"/>
        </w:rPr>
      </w:pPr>
    </w:p>
    <w:p w14:paraId="20D16571" w14:textId="27C131D7" w:rsidR="00F02DBC" w:rsidRPr="009E7B1A" w:rsidRDefault="27ABD74C" w:rsidP="009E7B1A">
      <w:pPr>
        <w:spacing w:after="240"/>
      </w:pPr>
      <w:r>
        <w:t xml:space="preserve">We’re excited to share some important news affecting our commercial and industrial (C&amp;I) programs.  As you’re likely aware, LED technology has transformed the lighting world over the past decade, thanks in part to efforts of </w:t>
      </w:r>
      <w:r w:rsidR="009E7B1A">
        <w:t>t</w:t>
      </w:r>
      <w:r>
        <w:t xml:space="preserve">rade </w:t>
      </w:r>
      <w:r w:rsidR="009E7B1A">
        <w:t>a</w:t>
      </w:r>
      <w:r>
        <w:t xml:space="preserve">llies like you, allowing companies and organizations to save more energy than ever before. We are proud to provide incentives to our C&amp;I customers to encourage these energy savings. To ensure we are spurring investment in products that are not only energy efficient, but also meet the high-quality lighting needs of various workplace environments, we rely on effective third-party product vetting. </w:t>
      </w:r>
      <w:bookmarkStart w:id="0" w:name="_Hlk33005237"/>
      <w:r>
        <w:t xml:space="preserve">To that end, we depend on the science-based solid-state lighting policies set and updated regularly by the </w:t>
      </w:r>
      <w:hyperlink r:id="rId5">
        <w:r w:rsidRPr="27ABD74C">
          <w:rPr>
            <w:rStyle w:val="Hyperlink"/>
          </w:rPr>
          <w:t>DesignLights Consortium</w:t>
        </w:r>
      </w:hyperlink>
      <w:r>
        <w:t xml:space="preserve"> (DLC). </w:t>
      </w:r>
      <w:bookmarkEnd w:id="0"/>
    </w:p>
    <w:p w14:paraId="39CE330E" w14:textId="323AEA0E" w:rsidR="00005D63" w:rsidRPr="002F59AA" w:rsidRDefault="27ABD74C" w:rsidP="009E7B1A">
      <w:pPr>
        <w:spacing w:after="240"/>
      </w:pPr>
      <w:r>
        <w:t xml:space="preserve">On February 14, 2020, the DLC released the latest version of its </w:t>
      </w:r>
      <w:hyperlink r:id="rId6">
        <w:r w:rsidRPr="27ABD74C">
          <w:rPr>
            <w:rStyle w:val="Hyperlink"/>
          </w:rPr>
          <w:t>Solid-State (SSL) Technical Requirements.</w:t>
        </w:r>
      </w:hyperlink>
      <w:r>
        <w:t xml:space="preserve">  Taking effect in two phases (V5.0 and V5.1), the requirements put new emphasis on the “quality of light” produced - attributes such as color performance, glare, and light distribution, which have been shown to improve user satisfaction, comfort, mood, and safety. </w:t>
      </w:r>
      <w:bookmarkStart w:id="1" w:name="_Hlk33005317"/>
      <w:r>
        <w:t>Under the new policy, qualifying products for the DLC’s Qualified Products List (</w:t>
      </w:r>
      <w:hyperlink r:id="rId7" w:history="1">
        <w:r w:rsidRPr="27ABD74C">
          <w:rPr>
            <w:rStyle w:val="Hyperlink"/>
          </w:rPr>
          <w:t>QPL</w:t>
        </w:r>
      </w:hyperlink>
      <w:r>
        <w:t xml:space="preserve">) – which informs our C&amp;I efficiency programs – will require added attention to these characteristics. The policy also increases the energy efficiency benchmarks for products on the QPL.  </w:t>
      </w:r>
      <w:bookmarkStart w:id="2" w:name="_Hlk32577955"/>
      <w:bookmarkEnd w:id="1"/>
      <w:bookmarkEnd w:id="2"/>
    </w:p>
    <w:p w14:paraId="2B10E9DA" w14:textId="251AA572" w:rsidR="002C46EA" w:rsidRPr="002F59AA" w:rsidRDefault="27ABD74C" w:rsidP="009E7B1A">
      <w:pPr>
        <w:spacing w:after="240" w:line="240" w:lineRule="auto"/>
      </w:pPr>
      <w:r>
        <w:t xml:space="preserve">V5.0, the first of the two </w:t>
      </w:r>
      <w:r w:rsidR="009E7B1A">
        <w:t>new policies,</w:t>
      </w:r>
      <w:r>
        <w:t xml:space="preserve"> </w:t>
      </w:r>
      <w:r w:rsidR="009E7B1A">
        <w:t xml:space="preserve">took </w:t>
      </w:r>
      <w:r>
        <w:t>effect on February 1</w:t>
      </w:r>
      <w:r w:rsidR="009B3180">
        <w:t>8</w:t>
      </w:r>
      <w:r>
        <w:t>, 2020</w:t>
      </w:r>
      <w:r w:rsidR="009E7B1A">
        <w:t>,</w:t>
      </w:r>
      <w:r>
        <w:t xml:space="preserve"> and focuses on energy savings by increasing efficacy requirements for QPL listed products </w:t>
      </w:r>
      <w:r w:rsidR="009E7B1A">
        <w:t>with the pace of technology</w:t>
      </w:r>
      <w:r>
        <w:t xml:space="preserve">. It also moves the LED market in a more controls-focused direction – with dimming capability requirements for most indoor luminaires and retrofit kits, as well as </w:t>
      </w:r>
      <w:r w:rsidRPr="27ABD74C">
        <w:rPr>
          <w:u w:val="single"/>
        </w:rPr>
        <w:t>all</w:t>
      </w:r>
      <w:r>
        <w:t xml:space="preserve"> DLC Premium products. Making the ability to dim a requirement for the QPL locks in potential energy and costs savings for years to come, since LEDs installed today might not be replaced for another decade. </w:t>
      </w:r>
    </w:p>
    <w:p w14:paraId="2C863BEC" w14:textId="22303A1C" w:rsidR="00275192" w:rsidRDefault="27ABD74C" w:rsidP="009E7B1A">
      <w:pPr>
        <w:spacing w:after="240"/>
      </w:pPr>
      <w:r>
        <w:t xml:space="preserve">V5.1 will take effect on </w:t>
      </w:r>
      <w:proofErr w:type="gramStart"/>
      <w:r>
        <w:t>July 1, 2020, and</w:t>
      </w:r>
      <w:proofErr w:type="gramEnd"/>
      <w:r>
        <w:t xml:space="preserve"> establishes requirements and reporting for lighting characteristics such as color performance, glare, and light distribution</w:t>
      </w:r>
      <w:r w:rsidR="009E7B1A">
        <w:t xml:space="preserve"> in order to</w:t>
      </w:r>
      <w:r>
        <w:t xml:space="preserve"> provide better quality of light for people living and working in the built environment. Additionally, dimming requirements and reporting on integrated controls and control communication protocol for all DLC-listed products, including indoor lamps and exterior luminaires</w:t>
      </w:r>
      <w:r w:rsidR="009E7B1A">
        <w:t>,</w:t>
      </w:r>
      <w:r>
        <w:t xml:space="preserve"> will unlock even more energy savings and help </w:t>
      </w:r>
      <w:r w:rsidR="009E7B1A">
        <w:t xml:space="preserve">users </w:t>
      </w:r>
      <w:r>
        <w:t xml:space="preserve">identify product compatibility with lighting control systems. </w:t>
      </w:r>
      <w:bookmarkStart w:id="3" w:name="_Hlk32578286"/>
      <w:bookmarkEnd w:id="3"/>
    </w:p>
    <w:p w14:paraId="58D81A10" w14:textId="672138BB" w:rsidR="00687638" w:rsidRDefault="27ABD74C" w:rsidP="009E7B1A">
      <w:pPr>
        <w:spacing w:after="240"/>
      </w:pPr>
      <w:r>
        <w:t xml:space="preserve">Because additional product testing and design changes may be needed to meet these requirements, the DLC has built in grace periods to update products listed on the QPL. </w:t>
      </w:r>
    </w:p>
    <w:p w14:paraId="27BB06CB" w14:textId="592D05B7" w:rsidR="002C46EA" w:rsidRPr="002F59AA" w:rsidRDefault="00352E9B" w:rsidP="009E7B1A">
      <w:pPr>
        <w:spacing w:after="240"/>
      </w:pPr>
      <w:r>
        <w:rPr>
          <w:noProof/>
        </w:rPr>
        <w:lastRenderedPageBreak/>
        <w:drawing>
          <wp:inline distT="0" distB="0" distL="0" distR="0" wp14:anchorId="4FC5A942" wp14:editId="4320B783">
            <wp:extent cx="5820410" cy="205143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8275" cy="2068300"/>
                    </a:xfrm>
                    <a:prstGeom prst="rect">
                      <a:avLst/>
                    </a:prstGeom>
                    <a:noFill/>
                  </pic:spPr>
                </pic:pic>
              </a:graphicData>
            </a:graphic>
          </wp:inline>
        </w:drawing>
      </w:r>
    </w:p>
    <w:p w14:paraId="56CB6DCE" w14:textId="72EC2C03" w:rsidR="00CE5BD3" w:rsidRPr="009E7B1A" w:rsidRDefault="2510B4B5" w:rsidP="009E7B1A">
      <w:pPr>
        <w:spacing w:after="240"/>
        <w:rPr>
          <w:b/>
          <w:bCs/>
          <w:i/>
          <w:iCs/>
        </w:rPr>
      </w:pPr>
      <w:bookmarkStart w:id="4" w:name="_Hlk32348755"/>
      <w:r w:rsidRPr="009E7B1A">
        <w:rPr>
          <w:b/>
          <w:bCs/>
          <w:i/>
          <w:iCs/>
        </w:rPr>
        <w:t xml:space="preserve">Products that are delisted from the DLC QPL may not be eligible for incentives, so it is important that trade allies verify that products being installed will remain qualified at the time an incentive application is submitted to the program.  To avoid </w:t>
      </w:r>
      <w:r w:rsidR="001F72D3" w:rsidRPr="009E7B1A">
        <w:rPr>
          <w:b/>
          <w:bCs/>
          <w:i/>
          <w:iCs/>
        </w:rPr>
        <w:t>selling products that may not be eligible for incentives</w:t>
      </w:r>
      <w:r w:rsidRPr="009E7B1A">
        <w:rPr>
          <w:b/>
          <w:bCs/>
          <w:i/>
          <w:iCs/>
        </w:rPr>
        <w:t>, distributors should verify status with manufacturers and exercise caution when stocking products that are not updated to V5.0 in 2020, and to V5.1 in 2021. V4.4 products may not be eligible for rebates in 2021.</w:t>
      </w:r>
    </w:p>
    <w:p w14:paraId="7CBF0447" w14:textId="2F320C2E" w:rsidR="00005D63" w:rsidRPr="009E7B1A" w:rsidRDefault="2510B4B5" w:rsidP="009E7B1A">
      <w:pPr>
        <w:spacing w:after="240"/>
      </w:pPr>
      <w:r w:rsidRPr="2510B4B5">
        <w:t xml:space="preserve">The DLC has provided </w:t>
      </w:r>
      <w:hyperlink r:id="rId9" w:history="1">
        <w:r w:rsidR="00391F89" w:rsidRPr="00391F89">
          <w:rPr>
            <w:rStyle w:val="Hyperlink"/>
          </w:rPr>
          <w:t>Manufacturer and Industry Guidance</w:t>
        </w:r>
      </w:hyperlink>
      <w:r w:rsidR="00391F89" w:rsidRPr="00391F89">
        <w:t xml:space="preserve"> with the new SSL Technical Requirements policy</w:t>
      </w:r>
      <w:r w:rsidRPr="2510B4B5">
        <w:t xml:space="preserve"> release, and will host a recorded </w:t>
      </w:r>
      <w:hyperlink r:id="rId10">
        <w:r w:rsidRPr="2510B4B5">
          <w:rPr>
            <w:rStyle w:val="Hyperlink"/>
          </w:rPr>
          <w:t>webinar</w:t>
        </w:r>
      </w:hyperlink>
      <w:r w:rsidRPr="2510B4B5">
        <w:t xml:space="preserve"> on February 20, 2020 to provide more information and answer questions about the policies. </w:t>
      </w:r>
      <w:bookmarkEnd w:id="4"/>
    </w:p>
    <w:p w14:paraId="60EBC961" w14:textId="7B1D0569" w:rsidR="00542F5A" w:rsidRPr="002F59AA" w:rsidRDefault="00AC1FF3" w:rsidP="009E7B1A">
      <w:pPr>
        <w:spacing w:after="240"/>
        <w:rPr>
          <w:rFonts w:cstheme="minorHAnsi"/>
        </w:rPr>
      </w:pPr>
      <w:r w:rsidRPr="002F59AA">
        <w:rPr>
          <w:rFonts w:cstheme="minorHAnsi"/>
        </w:rPr>
        <w:t>As always, we</w:t>
      </w:r>
      <w:r w:rsidR="00C13678" w:rsidRPr="002F59AA">
        <w:rPr>
          <w:rFonts w:cstheme="minorHAnsi"/>
        </w:rPr>
        <w:t xml:space="preserve"> are available to answer any </w:t>
      </w:r>
      <w:r w:rsidR="00DD1297">
        <w:rPr>
          <w:rFonts w:cstheme="minorHAnsi"/>
        </w:rPr>
        <w:t xml:space="preserve">additional </w:t>
      </w:r>
      <w:r w:rsidR="00C13678" w:rsidRPr="002F59AA">
        <w:rPr>
          <w:rFonts w:cstheme="minorHAnsi"/>
        </w:rPr>
        <w:t xml:space="preserve">questions you </w:t>
      </w:r>
      <w:r w:rsidR="00707C97">
        <w:rPr>
          <w:rFonts w:cstheme="minorHAnsi"/>
        </w:rPr>
        <w:t xml:space="preserve">may </w:t>
      </w:r>
      <w:r w:rsidR="00C13678" w:rsidRPr="002F59AA">
        <w:rPr>
          <w:rFonts w:cstheme="minorHAnsi"/>
        </w:rPr>
        <w:t>have about this new policy and how it affects your business</w:t>
      </w:r>
      <w:r w:rsidR="00B45871" w:rsidRPr="002F59AA">
        <w:rPr>
          <w:rFonts w:cstheme="minorHAnsi"/>
        </w:rPr>
        <w:t xml:space="preserve">, and we look forward to working with you during </w:t>
      </w:r>
      <w:r w:rsidR="00BC7063" w:rsidRPr="002F59AA">
        <w:rPr>
          <w:rFonts w:cstheme="minorHAnsi"/>
        </w:rPr>
        <w:t>this transition.</w:t>
      </w:r>
      <w:r w:rsidRPr="002F59AA">
        <w:rPr>
          <w:rFonts w:cstheme="minorHAnsi"/>
        </w:rPr>
        <w:t xml:space="preserve"> </w:t>
      </w:r>
    </w:p>
    <w:sectPr w:rsidR="00542F5A" w:rsidRPr="002F5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75B8"/>
    <w:multiLevelType w:val="hybridMultilevel"/>
    <w:tmpl w:val="D99E0C3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353A2"/>
    <w:multiLevelType w:val="hybridMultilevel"/>
    <w:tmpl w:val="79A6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7650D"/>
    <w:multiLevelType w:val="hybridMultilevel"/>
    <w:tmpl w:val="B5F2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7E"/>
    <w:rsid w:val="00005D63"/>
    <w:rsid w:val="0002380A"/>
    <w:rsid w:val="000372E7"/>
    <w:rsid w:val="00082416"/>
    <w:rsid w:val="0008753E"/>
    <w:rsid w:val="000A6BB5"/>
    <w:rsid w:val="000C179C"/>
    <w:rsid w:val="000F6A30"/>
    <w:rsid w:val="001524E0"/>
    <w:rsid w:val="001611F0"/>
    <w:rsid w:val="00164AB0"/>
    <w:rsid w:val="001804F0"/>
    <w:rsid w:val="001D2595"/>
    <w:rsid w:val="001D680A"/>
    <w:rsid w:val="001F72D3"/>
    <w:rsid w:val="00214F35"/>
    <w:rsid w:val="00220F87"/>
    <w:rsid w:val="0024597D"/>
    <w:rsid w:val="00260C9C"/>
    <w:rsid w:val="00275192"/>
    <w:rsid w:val="002C46EA"/>
    <w:rsid w:val="002F59AA"/>
    <w:rsid w:val="002F63B1"/>
    <w:rsid w:val="002F734B"/>
    <w:rsid w:val="00352E9B"/>
    <w:rsid w:val="0036537C"/>
    <w:rsid w:val="00375028"/>
    <w:rsid w:val="0037698F"/>
    <w:rsid w:val="00391F89"/>
    <w:rsid w:val="003D776A"/>
    <w:rsid w:val="00433E50"/>
    <w:rsid w:val="004424C8"/>
    <w:rsid w:val="0044618F"/>
    <w:rsid w:val="004768A7"/>
    <w:rsid w:val="004A7B1F"/>
    <w:rsid w:val="004C20E6"/>
    <w:rsid w:val="004E4377"/>
    <w:rsid w:val="00511960"/>
    <w:rsid w:val="00527A13"/>
    <w:rsid w:val="00542F5A"/>
    <w:rsid w:val="00563763"/>
    <w:rsid w:val="00570C26"/>
    <w:rsid w:val="005728C4"/>
    <w:rsid w:val="00577856"/>
    <w:rsid w:val="00592477"/>
    <w:rsid w:val="005A1C7D"/>
    <w:rsid w:val="005D60CB"/>
    <w:rsid w:val="005F3B96"/>
    <w:rsid w:val="005F6111"/>
    <w:rsid w:val="006076D5"/>
    <w:rsid w:val="00610053"/>
    <w:rsid w:val="0063203F"/>
    <w:rsid w:val="00660772"/>
    <w:rsid w:val="00673C28"/>
    <w:rsid w:val="006800F6"/>
    <w:rsid w:val="00687638"/>
    <w:rsid w:val="006C1C69"/>
    <w:rsid w:val="006C554A"/>
    <w:rsid w:val="00707C97"/>
    <w:rsid w:val="00711454"/>
    <w:rsid w:val="007602B5"/>
    <w:rsid w:val="00770BA3"/>
    <w:rsid w:val="00772367"/>
    <w:rsid w:val="007777F6"/>
    <w:rsid w:val="007C4F1D"/>
    <w:rsid w:val="0081580F"/>
    <w:rsid w:val="0082754C"/>
    <w:rsid w:val="008334D1"/>
    <w:rsid w:val="0084197C"/>
    <w:rsid w:val="008444AB"/>
    <w:rsid w:val="00887553"/>
    <w:rsid w:val="009146DA"/>
    <w:rsid w:val="0094046C"/>
    <w:rsid w:val="009606F9"/>
    <w:rsid w:val="009907B9"/>
    <w:rsid w:val="009B234E"/>
    <w:rsid w:val="009B3180"/>
    <w:rsid w:val="009C04F1"/>
    <w:rsid w:val="009E7B1A"/>
    <w:rsid w:val="00A366CE"/>
    <w:rsid w:val="00A37AFA"/>
    <w:rsid w:val="00A52350"/>
    <w:rsid w:val="00A53977"/>
    <w:rsid w:val="00A679EA"/>
    <w:rsid w:val="00A81BDA"/>
    <w:rsid w:val="00AB2807"/>
    <w:rsid w:val="00AC1FF3"/>
    <w:rsid w:val="00AC75BD"/>
    <w:rsid w:val="00AD6998"/>
    <w:rsid w:val="00AF43CF"/>
    <w:rsid w:val="00AF4C8C"/>
    <w:rsid w:val="00B349F1"/>
    <w:rsid w:val="00B37E1D"/>
    <w:rsid w:val="00B45871"/>
    <w:rsid w:val="00B7477E"/>
    <w:rsid w:val="00B94E26"/>
    <w:rsid w:val="00BC7063"/>
    <w:rsid w:val="00BF55F1"/>
    <w:rsid w:val="00C04F9B"/>
    <w:rsid w:val="00C1252D"/>
    <w:rsid w:val="00C13678"/>
    <w:rsid w:val="00C33572"/>
    <w:rsid w:val="00C37137"/>
    <w:rsid w:val="00C823E6"/>
    <w:rsid w:val="00C87D65"/>
    <w:rsid w:val="00CB239A"/>
    <w:rsid w:val="00CC0380"/>
    <w:rsid w:val="00CE414C"/>
    <w:rsid w:val="00CE5BD3"/>
    <w:rsid w:val="00D27FAB"/>
    <w:rsid w:val="00D532CD"/>
    <w:rsid w:val="00D640D3"/>
    <w:rsid w:val="00D90BC1"/>
    <w:rsid w:val="00DA6376"/>
    <w:rsid w:val="00DB4D5B"/>
    <w:rsid w:val="00DC3FC5"/>
    <w:rsid w:val="00DD1297"/>
    <w:rsid w:val="00DE7A2C"/>
    <w:rsid w:val="00DF249E"/>
    <w:rsid w:val="00E136CD"/>
    <w:rsid w:val="00E36CB6"/>
    <w:rsid w:val="00E67F51"/>
    <w:rsid w:val="00EE23E9"/>
    <w:rsid w:val="00EF400F"/>
    <w:rsid w:val="00F02DBC"/>
    <w:rsid w:val="00F100A0"/>
    <w:rsid w:val="00F2500A"/>
    <w:rsid w:val="00F36EEE"/>
    <w:rsid w:val="00F7300E"/>
    <w:rsid w:val="00F777A7"/>
    <w:rsid w:val="00FA7606"/>
    <w:rsid w:val="00FE65CB"/>
    <w:rsid w:val="1BEB77F4"/>
    <w:rsid w:val="2510B4B5"/>
    <w:rsid w:val="27ABD74C"/>
    <w:rsid w:val="3BFA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BF29"/>
  <w15:chartTrackingRefBased/>
  <w15:docId w15:val="{1DEB7D16-FCDB-4F7D-8700-FDC934B8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6EA"/>
    <w:pPr>
      <w:spacing w:after="200" w:line="276" w:lineRule="auto"/>
      <w:ind w:left="720"/>
      <w:contextualSpacing/>
    </w:pPr>
  </w:style>
  <w:style w:type="character" w:styleId="Hyperlink">
    <w:name w:val="Hyperlink"/>
    <w:basedOn w:val="DefaultParagraphFont"/>
    <w:uiPriority w:val="99"/>
    <w:unhideWhenUsed/>
    <w:rsid w:val="00711454"/>
    <w:rPr>
      <w:color w:val="0563C1" w:themeColor="hyperlink"/>
      <w:u w:val="single"/>
    </w:rPr>
  </w:style>
  <w:style w:type="character" w:styleId="UnresolvedMention">
    <w:name w:val="Unresolved Mention"/>
    <w:basedOn w:val="DefaultParagraphFont"/>
    <w:uiPriority w:val="99"/>
    <w:semiHidden/>
    <w:unhideWhenUsed/>
    <w:rsid w:val="00711454"/>
    <w:rPr>
      <w:color w:val="605E5C"/>
      <w:shd w:val="clear" w:color="auto" w:fill="E1DFDD"/>
    </w:rPr>
  </w:style>
  <w:style w:type="character" w:styleId="CommentReference">
    <w:name w:val="annotation reference"/>
    <w:basedOn w:val="DefaultParagraphFont"/>
    <w:uiPriority w:val="99"/>
    <w:semiHidden/>
    <w:unhideWhenUsed/>
    <w:rsid w:val="00CE414C"/>
    <w:rPr>
      <w:sz w:val="16"/>
      <w:szCs w:val="16"/>
    </w:rPr>
  </w:style>
  <w:style w:type="paragraph" w:styleId="CommentText">
    <w:name w:val="annotation text"/>
    <w:basedOn w:val="Normal"/>
    <w:link w:val="CommentTextChar"/>
    <w:uiPriority w:val="99"/>
    <w:semiHidden/>
    <w:unhideWhenUsed/>
    <w:rsid w:val="00CE414C"/>
    <w:pPr>
      <w:spacing w:line="240" w:lineRule="auto"/>
    </w:pPr>
    <w:rPr>
      <w:sz w:val="20"/>
      <w:szCs w:val="20"/>
    </w:rPr>
  </w:style>
  <w:style w:type="character" w:customStyle="1" w:styleId="CommentTextChar">
    <w:name w:val="Comment Text Char"/>
    <w:basedOn w:val="DefaultParagraphFont"/>
    <w:link w:val="CommentText"/>
    <w:uiPriority w:val="99"/>
    <w:semiHidden/>
    <w:rsid w:val="00CE414C"/>
    <w:rPr>
      <w:sz w:val="20"/>
      <w:szCs w:val="20"/>
    </w:rPr>
  </w:style>
  <w:style w:type="paragraph" w:styleId="CommentSubject">
    <w:name w:val="annotation subject"/>
    <w:basedOn w:val="CommentText"/>
    <w:next w:val="CommentText"/>
    <w:link w:val="CommentSubjectChar"/>
    <w:uiPriority w:val="99"/>
    <w:semiHidden/>
    <w:unhideWhenUsed/>
    <w:rsid w:val="00CE414C"/>
    <w:rPr>
      <w:b/>
      <w:bCs/>
    </w:rPr>
  </w:style>
  <w:style w:type="character" w:customStyle="1" w:styleId="CommentSubjectChar">
    <w:name w:val="Comment Subject Char"/>
    <w:basedOn w:val="CommentTextChar"/>
    <w:link w:val="CommentSubject"/>
    <w:uiPriority w:val="99"/>
    <w:semiHidden/>
    <w:rsid w:val="00CE414C"/>
    <w:rPr>
      <w:b/>
      <w:bCs/>
      <w:sz w:val="20"/>
      <w:szCs w:val="20"/>
    </w:rPr>
  </w:style>
  <w:style w:type="paragraph" w:styleId="BalloonText">
    <w:name w:val="Balloon Text"/>
    <w:basedOn w:val="Normal"/>
    <w:link w:val="BalloonTextChar"/>
    <w:uiPriority w:val="99"/>
    <w:semiHidden/>
    <w:unhideWhenUsed/>
    <w:rsid w:val="00CE4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esignlights.org/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signlights.org/solid-state-lighting/qualification-requirements/v5-transition/" TargetMode="External"/><Relationship Id="rId11" Type="http://schemas.openxmlformats.org/officeDocument/2006/relationships/fontTable" Target="fontTable.xml"/><Relationship Id="rId5" Type="http://schemas.openxmlformats.org/officeDocument/2006/relationships/hyperlink" Target="http://www.designlights.org" TargetMode="External"/><Relationship Id="rId10" Type="http://schemas.openxmlformats.org/officeDocument/2006/relationships/hyperlink" Target="https://www.designlights.org/news-events/webinars/ssl-technical-requirements-v5-0-and-v5-1-overview-webinar/" TargetMode="External"/><Relationship Id="rId4" Type="http://schemas.openxmlformats.org/officeDocument/2006/relationships/webSettings" Target="webSettings.xml"/><Relationship Id="rId9" Type="http://schemas.openxmlformats.org/officeDocument/2006/relationships/hyperlink" Target="https://www.designlights.org/solid-state-lighting/qualification-requirements/v5-transition/manufacturer-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Capone</dc:creator>
  <cp:keywords/>
  <dc:description/>
  <cp:lastModifiedBy>Lani Malapan</cp:lastModifiedBy>
  <cp:revision>2</cp:revision>
  <dcterms:created xsi:type="dcterms:W3CDTF">2021-09-21T14:58:00Z</dcterms:created>
  <dcterms:modified xsi:type="dcterms:W3CDTF">2021-09-21T14:58:00Z</dcterms:modified>
</cp:coreProperties>
</file>